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D21D" w14:textId="069FD6D0" w:rsidR="00D55BDA" w:rsidRDefault="001724CE" w:rsidP="003B60D3">
      <w:pPr>
        <w:spacing w:after="0"/>
        <w:jc w:val="center"/>
        <w:rPr>
          <w:b/>
          <w:bCs/>
          <w:sz w:val="40"/>
          <w:szCs w:val="40"/>
        </w:rPr>
      </w:pPr>
      <w:r w:rsidRPr="001724CE">
        <w:rPr>
          <w:b/>
          <w:bCs/>
          <w:sz w:val="40"/>
          <w:szCs w:val="40"/>
        </w:rPr>
        <w:t>Website Hosting</w:t>
      </w:r>
    </w:p>
    <w:p w14:paraId="3D00A834" w14:textId="5D4FB491" w:rsidR="001724CE" w:rsidRPr="001724CE" w:rsidRDefault="001724CE" w:rsidP="003B60D3">
      <w:pPr>
        <w:spacing w:after="0"/>
        <w:rPr>
          <w:sz w:val="32"/>
          <w:szCs w:val="32"/>
        </w:rPr>
      </w:pPr>
      <w:r w:rsidRPr="001724CE">
        <w:rPr>
          <w:sz w:val="32"/>
          <w:szCs w:val="32"/>
        </w:rPr>
        <w:t>CEC is pleased to offer free web hosting for divisions and units (components). The following is a general guideline of this service</w:t>
      </w:r>
      <w:r w:rsidR="003B60D3">
        <w:rPr>
          <w:sz w:val="32"/>
          <w:szCs w:val="32"/>
        </w:rPr>
        <w:t>.</w:t>
      </w:r>
    </w:p>
    <w:p w14:paraId="7D6A49D3" w14:textId="77777777" w:rsidR="003B60D3" w:rsidRDefault="003B60D3" w:rsidP="003B60D3">
      <w:pPr>
        <w:spacing w:after="0"/>
        <w:rPr>
          <w:b/>
          <w:bCs/>
          <w:sz w:val="28"/>
          <w:szCs w:val="28"/>
        </w:rPr>
      </w:pPr>
    </w:p>
    <w:p w14:paraId="7EDEA4C4" w14:textId="715FA5D8" w:rsidR="00FB68BC" w:rsidRDefault="001724CE" w:rsidP="003B60D3">
      <w:pPr>
        <w:spacing w:after="0"/>
      </w:pPr>
      <w:r>
        <w:rPr>
          <w:b/>
          <w:bCs/>
          <w:sz w:val="28"/>
          <w:szCs w:val="28"/>
        </w:rPr>
        <w:t>Initial Agreements</w:t>
      </w:r>
    </w:p>
    <w:p w14:paraId="3329FBFC" w14:textId="31C8C176" w:rsidR="00FB68BC" w:rsidRDefault="00FB68BC" w:rsidP="003B60D3">
      <w:pPr>
        <w:spacing w:after="0"/>
      </w:pPr>
      <w:r>
        <w:t>CEC will:</w:t>
      </w:r>
    </w:p>
    <w:p w14:paraId="4C53A5F4" w14:textId="3BCDDBF0" w:rsidR="00FB68BC" w:rsidRDefault="00FB68BC" w:rsidP="003B60D3">
      <w:pPr>
        <w:pStyle w:val="ListParagraph"/>
        <w:numPr>
          <w:ilvl w:val="0"/>
          <w:numId w:val="2"/>
        </w:numPr>
        <w:spacing w:after="0"/>
      </w:pPr>
      <w:r>
        <w:t>Provide a free web platform that is accessible and mobile responsive</w:t>
      </w:r>
    </w:p>
    <w:p w14:paraId="0043043C" w14:textId="0791A549" w:rsidR="00FB68BC" w:rsidRDefault="00FB68BC" w:rsidP="003B60D3">
      <w:pPr>
        <w:pStyle w:val="ListParagraph"/>
        <w:numPr>
          <w:ilvl w:val="0"/>
          <w:numId w:val="2"/>
        </w:numPr>
        <w:spacing w:after="0"/>
      </w:pPr>
      <w:r>
        <w:t>Provide free updates to the component website during regular business hours using a tiered-response service structure (see below). Emergency or off-hours updates will be made to the best of our ability.</w:t>
      </w:r>
    </w:p>
    <w:p w14:paraId="797EA314" w14:textId="218739A6" w:rsidR="00FB68BC" w:rsidRDefault="00FB68BC" w:rsidP="003B60D3">
      <w:pPr>
        <w:pStyle w:val="ListParagraph"/>
        <w:numPr>
          <w:ilvl w:val="0"/>
          <w:numId w:val="2"/>
        </w:numPr>
        <w:spacing w:after="0"/>
      </w:pPr>
      <w:r>
        <w:t>Communicate any planned web service outages or major revisions.</w:t>
      </w:r>
    </w:p>
    <w:p w14:paraId="5BBB67E0" w14:textId="7A466B8C" w:rsidR="00FB68BC" w:rsidRDefault="00FB68BC" w:rsidP="003B60D3">
      <w:pPr>
        <w:pStyle w:val="ListParagraph"/>
        <w:numPr>
          <w:ilvl w:val="0"/>
          <w:numId w:val="2"/>
        </w:numPr>
        <w:spacing w:after="0"/>
      </w:pPr>
      <w:r>
        <w:t>Advise components on content management strategy.</w:t>
      </w:r>
    </w:p>
    <w:p w14:paraId="6D59A029" w14:textId="637B54A3" w:rsidR="00FB68BC" w:rsidRDefault="00FB68BC" w:rsidP="003B60D3">
      <w:pPr>
        <w:pStyle w:val="ListParagraph"/>
        <w:numPr>
          <w:ilvl w:val="0"/>
          <w:numId w:val="2"/>
        </w:numPr>
        <w:spacing w:after="0"/>
      </w:pPr>
      <w:r>
        <w:t>Place ads on component web sites in pre-determined locations (no revenue will be allocated to the component).</w:t>
      </w:r>
    </w:p>
    <w:p w14:paraId="56294E34" w14:textId="5EF5C405" w:rsidR="00FB68BC" w:rsidRDefault="00FB68BC" w:rsidP="003B60D3">
      <w:pPr>
        <w:pStyle w:val="ListParagraph"/>
        <w:numPr>
          <w:ilvl w:val="0"/>
          <w:numId w:val="2"/>
        </w:numPr>
        <w:spacing w:after="0"/>
      </w:pPr>
      <w:r>
        <w:t>Cross-promote component content across the entire network using a pre-determined taxonomy.</w:t>
      </w:r>
    </w:p>
    <w:p w14:paraId="5331444E" w14:textId="7DB2930C" w:rsidR="00FB68BC" w:rsidRDefault="00FB68BC" w:rsidP="003B60D3">
      <w:pPr>
        <w:spacing w:after="0"/>
      </w:pPr>
      <w:r>
        <w:t>Components will:</w:t>
      </w:r>
    </w:p>
    <w:p w14:paraId="1F6DD35B" w14:textId="0287D70C" w:rsidR="00FB68BC" w:rsidRDefault="00FB68BC" w:rsidP="003B60D3">
      <w:pPr>
        <w:pStyle w:val="ListParagraph"/>
        <w:numPr>
          <w:ilvl w:val="0"/>
          <w:numId w:val="3"/>
        </w:numPr>
        <w:spacing w:after="0"/>
      </w:pPr>
      <w:r>
        <w:t>Provide 1-2 contacts who are responsible for the component website.</w:t>
      </w:r>
      <w:r w:rsidR="001724CE">
        <w:t xml:space="preserve"> These contacts may be given access to edit the website </w:t>
      </w:r>
      <w:r w:rsidR="003A1612">
        <w:t xml:space="preserve">after migration </w:t>
      </w:r>
      <w:r w:rsidR="001724CE">
        <w:t>upon request, but before a login is created, the individual must engage in a two-hour training with a member of the CEC staff</w:t>
      </w:r>
      <w:r w:rsidR="00F7380F">
        <w:t xml:space="preserve"> to learn the technicalities of managing a Drupal website</w:t>
      </w:r>
      <w:r w:rsidR="001724CE">
        <w:t>.</w:t>
      </w:r>
    </w:p>
    <w:p w14:paraId="14AED729" w14:textId="2D292B45" w:rsidR="00FB68BC" w:rsidRDefault="00FB68BC" w:rsidP="003B60D3">
      <w:pPr>
        <w:pStyle w:val="ListParagraph"/>
        <w:numPr>
          <w:ilvl w:val="0"/>
          <w:numId w:val="3"/>
        </w:numPr>
        <w:spacing w:after="0"/>
      </w:pPr>
      <w:r>
        <w:t>Maintain responsibility for all content on its website.</w:t>
      </w:r>
    </w:p>
    <w:p w14:paraId="6A333609" w14:textId="640FC9B2" w:rsidR="00FB68BC" w:rsidRDefault="00FB68BC" w:rsidP="003B60D3">
      <w:pPr>
        <w:pStyle w:val="ListParagraph"/>
        <w:numPr>
          <w:ilvl w:val="0"/>
          <w:numId w:val="3"/>
        </w:numPr>
        <w:spacing w:after="0"/>
      </w:pPr>
      <w:r>
        <w:t xml:space="preserve">Provide front page updates </w:t>
      </w:r>
      <w:bookmarkStart w:id="0" w:name="_GoBack"/>
      <w:bookmarkEnd w:id="0"/>
      <w:r>
        <w:t>no less than once per quarter.</w:t>
      </w:r>
    </w:p>
    <w:p w14:paraId="5D982B7A" w14:textId="77777777" w:rsidR="00FB68BC" w:rsidRDefault="00FB68BC" w:rsidP="003B60D3">
      <w:pPr>
        <w:pStyle w:val="ListParagraph"/>
        <w:numPr>
          <w:ilvl w:val="0"/>
          <w:numId w:val="3"/>
        </w:numPr>
        <w:spacing w:after="0"/>
      </w:pPr>
      <w:r>
        <w:t>Submit service requests using the designated submission portal and service tiers. It is expected that urgent requests (meaning immediate response is needed) will be limited.</w:t>
      </w:r>
    </w:p>
    <w:p w14:paraId="4FF2C7F3" w14:textId="58B36F34" w:rsidR="00FB68BC" w:rsidRDefault="00FB68BC" w:rsidP="003B60D3">
      <w:pPr>
        <w:spacing w:after="0"/>
      </w:pPr>
    </w:p>
    <w:p w14:paraId="76BE1360" w14:textId="6D39B2B5" w:rsidR="001724CE" w:rsidRPr="001724CE" w:rsidRDefault="001724CE" w:rsidP="003B60D3">
      <w:pPr>
        <w:spacing w:after="0"/>
        <w:rPr>
          <w:b/>
          <w:bCs/>
          <w:sz w:val="28"/>
          <w:szCs w:val="28"/>
        </w:rPr>
      </w:pPr>
      <w:r w:rsidRPr="001724CE">
        <w:rPr>
          <w:b/>
          <w:bCs/>
          <w:sz w:val="28"/>
          <w:szCs w:val="28"/>
        </w:rPr>
        <w:t>Service Requests</w:t>
      </w:r>
    </w:p>
    <w:p w14:paraId="5989C7B5" w14:textId="240FED26" w:rsidR="001724CE" w:rsidRDefault="001724CE" w:rsidP="003B60D3">
      <w:pPr>
        <w:spacing w:after="0"/>
      </w:pPr>
      <w:r>
        <w:t xml:space="preserve">Service requests will be made </w:t>
      </w:r>
      <w:hyperlink r:id="rId8" w:history="1">
        <w:r w:rsidRPr="00070B04">
          <w:rPr>
            <w:rStyle w:val="Hyperlink"/>
          </w:rPr>
          <w:t>here</w:t>
        </w:r>
      </w:hyperlink>
      <w:r>
        <w:t xml:space="preserve"> using the approved Service Tiers</w:t>
      </w:r>
    </w:p>
    <w:p w14:paraId="1619AE80" w14:textId="77777777" w:rsidR="001724CE" w:rsidRDefault="001724CE" w:rsidP="003B60D3">
      <w:pPr>
        <w:pStyle w:val="ListParagraph"/>
        <w:numPr>
          <w:ilvl w:val="0"/>
          <w:numId w:val="4"/>
        </w:numPr>
        <w:spacing w:after="0"/>
      </w:pPr>
      <w:r>
        <w:t>Tier 5 – This is meant for projects that involve more than one page OR that are not time sensitive. Standard response time is 4-5 business days.</w:t>
      </w:r>
    </w:p>
    <w:p w14:paraId="72482217" w14:textId="77777777" w:rsidR="001724CE" w:rsidRDefault="001724CE" w:rsidP="003B60D3">
      <w:pPr>
        <w:pStyle w:val="ListParagraph"/>
        <w:numPr>
          <w:ilvl w:val="0"/>
          <w:numId w:val="4"/>
        </w:numPr>
        <w:spacing w:after="0"/>
      </w:pPr>
      <w:r>
        <w:t>Tier 4 – This is meant for projects that is not time sensitive. Standard response time is 2-3 business days.</w:t>
      </w:r>
    </w:p>
    <w:p w14:paraId="5450B208" w14:textId="77777777" w:rsidR="001724CE" w:rsidRDefault="001724CE" w:rsidP="003B60D3">
      <w:pPr>
        <w:pStyle w:val="ListParagraph"/>
        <w:numPr>
          <w:ilvl w:val="0"/>
          <w:numId w:val="4"/>
        </w:numPr>
        <w:spacing w:after="0"/>
      </w:pPr>
      <w:r>
        <w:t xml:space="preserve">Tier 3 – </w:t>
      </w:r>
      <w:r w:rsidRPr="001724CE">
        <w:rPr>
          <w:b/>
          <w:bCs/>
        </w:rPr>
        <w:t>This is the standard response tier</w:t>
      </w:r>
      <w:r>
        <w:t xml:space="preserve"> for adding new content or making edits. Standard response is 1-2 business days.</w:t>
      </w:r>
    </w:p>
    <w:p w14:paraId="36CAC97A" w14:textId="77777777" w:rsidR="001724CE" w:rsidRDefault="001724CE" w:rsidP="003B60D3">
      <w:pPr>
        <w:pStyle w:val="ListParagraph"/>
        <w:numPr>
          <w:ilvl w:val="0"/>
          <w:numId w:val="4"/>
        </w:numPr>
        <w:spacing w:after="0"/>
      </w:pPr>
      <w:r>
        <w:t>Tier 2 – This is an expedited response tier that should be used sparingly. Standard response time is 1 business day or sooner.</w:t>
      </w:r>
    </w:p>
    <w:p w14:paraId="1CA02EBB" w14:textId="77777777" w:rsidR="001724CE" w:rsidRDefault="001724CE" w:rsidP="003B60D3">
      <w:pPr>
        <w:pStyle w:val="ListParagraph"/>
        <w:numPr>
          <w:ilvl w:val="0"/>
          <w:numId w:val="4"/>
        </w:numPr>
        <w:spacing w:after="0"/>
      </w:pPr>
      <w:r>
        <w:t>Tier 1 – This is the Emergency Tier that should only be used in the most severe cases. An example would be that you have a Webinar starting in an hour and you  have the wrong link posted on the website.</w:t>
      </w:r>
    </w:p>
    <w:p w14:paraId="482D7481" w14:textId="36E5500C" w:rsidR="001724CE" w:rsidRDefault="001724CE" w:rsidP="003B60D3">
      <w:pPr>
        <w:spacing w:after="0"/>
      </w:pPr>
      <w:r>
        <w:t xml:space="preserve">*If you have special circumstances that require elaborate or timely issues that you can predict in advance, we strongly encourage you to email </w:t>
      </w:r>
      <w:hyperlink r:id="rId9" w:history="1">
        <w:r w:rsidRPr="00D47747">
          <w:rPr>
            <w:rStyle w:val="Hyperlink"/>
          </w:rPr>
          <w:t>websubmit@exceptionalchildren.org</w:t>
        </w:r>
      </w:hyperlink>
      <w:r>
        <w:t xml:space="preserve"> ahead of time to </w:t>
      </w:r>
      <w:r>
        <w:lastRenderedPageBreak/>
        <w:t>arrange for that. For example, if you plan to make updates during a conference, please alert CEC ahead of time.</w:t>
      </w:r>
    </w:p>
    <w:p w14:paraId="7F01B364" w14:textId="77777777" w:rsidR="003B60D3" w:rsidRDefault="003B60D3" w:rsidP="003B60D3">
      <w:pPr>
        <w:spacing w:after="0"/>
        <w:rPr>
          <w:b/>
          <w:bCs/>
          <w:sz w:val="28"/>
          <w:szCs w:val="28"/>
        </w:rPr>
      </w:pPr>
    </w:p>
    <w:p w14:paraId="7BB4AFB8" w14:textId="29A48E0B" w:rsidR="00574EA9" w:rsidRPr="00F439D2" w:rsidRDefault="00F439D2" w:rsidP="003B60D3">
      <w:pPr>
        <w:spacing w:after="0"/>
        <w:rPr>
          <w:b/>
          <w:bCs/>
          <w:sz w:val="28"/>
          <w:szCs w:val="28"/>
        </w:rPr>
      </w:pPr>
      <w:r w:rsidRPr="00F439D2">
        <w:rPr>
          <w:b/>
          <w:bCs/>
          <w:sz w:val="28"/>
          <w:szCs w:val="28"/>
        </w:rPr>
        <w:t>Planning for Migration</w:t>
      </w:r>
    </w:p>
    <w:p w14:paraId="35BF6546" w14:textId="4E4D0376" w:rsidR="004F4636" w:rsidRDefault="00F439D2" w:rsidP="003B60D3">
      <w:pPr>
        <w:spacing w:after="0"/>
      </w:pPr>
      <w:r>
        <w:t>There are several steps that you can take now to begin planning for your migration:</w:t>
      </w:r>
    </w:p>
    <w:p w14:paraId="39A6037E" w14:textId="5947F92D" w:rsidR="00F439D2" w:rsidRDefault="00F439D2" w:rsidP="00F439D2">
      <w:pPr>
        <w:pStyle w:val="ListParagraph"/>
        <w:numPr>
          <w:ilvl w:val="0"/>
          <w:numId w:val="5"/>
        </w:numPr>
        <w:spacing w:after="0"/>
      </w:pPr>
      <w:r>
        <w:t>Identify 1-2 people who will serve as CEC contacts for the migration</w:t>
      </w:r>
      <w:r w:rsidR="004F4636">
        <w:t xml:space="preserve"> and have your division or uni</w:t>
      </w:r>
      <w:r w:rsidR="00410475">
        <w:t xml:space="preserve">t president complete the migration scheduling </w:t>
      </w:r>
      <w:hyperlink r:id="rId10" w:history="1">
        <w:r w:rsidR="00410475" w:rsidRPr="00410475">
          <w:rPr>
            <w:rStyle w:val="Hyperlink"/>
          </w:rPr>
          <w:t>form</w:t>
        </w:r>
      </w:hyperlink>
      <w:r w:rsidR="00410475">
        <w:t>.</w:t>
      </w:r>
    </w:p>
    <w:p w14:paraId="33E5B5D6" w14:textId="77777777" w:rsidR="00763A97" w:rsidRDefault="00763A97" w:rsidP="00763A97">
      <w:pPr>
        <w:pStyle w:val="ListParagraph"/>
        <w:numPr>
          <w:ilvl w:val="0"/>
          <w:numId w:val="5"/>
        </w:numPr>
        <w:spacing w:after="0"/>
      </w:pPr>
      <w:r>
        <w:t xml:space="preserve">Discuss among your leaders what means the most to you in your website. Most design principles are already decided by the overachieving them of the CEC website, so we encourage you to think mostly about content organization and presentation. To the extent that you can tell us what is most important, we can take liberty in tweaking designs and making suggestions to support your new website. </w:t>
      </w:r>
    </w:p>
    <w:p w14:paraId="31B8CA00" w14:textId="45F9981D" w:rsidR="00F439D2" w:rsidRDefault="00F439D2" w:rsidP="00F439D2">
      <w:pPr>
        <w:pStyle w:val="ListParagraph"/>
        <w:numPr>
          <w:ilvl w:val="0"/>
          <w:numId w:val="5"/>
        </w:numPr>
        <w:spacing w:after="0"/>
      </w:pPr>
      <w:r>
        <w:t xml:space="preserve">Review the menu hierarchy on the CEC website and start to complete your own hierarchy using the </w:t>
      </w:r>
      <w:r w:rsidRPr="00F439D2">
        <w:rPr>
          <w:highlight w:val="yellow"/>
        </w:rPr>
        <w:t>provided template</w:t>
      </w:r>
      <w:r>
        <w:t>.</w:t>
      </w:r>
    </w:p>
    <w:p w14:paraId="4C54B2AC" w14:textId="768F7219" w:rsidR="00F439D2" w:rsidRDefault="00F439D2" w:rsidP="00F439D2">
      <w:pPr>
        <w:pStyle w:val="ListParagraph"/>
        <w:numPr>
          <w:ilvl w:val="0"/>
          <w:numId w:val="5"/>
        </w:numPr>
        <w:spacing w:after="0"/>
      </w:pPr>
      <w:r>
        <w:t>Make a list (Excel works best) of every web page on your website so you can track the pages that should move to the new website. Indicate where on the menu hierarchy they should land on the new site.</w:t>
      </w:r>
      <w:r w:rsidR="00763A97">
        <w:t xml:space="preserve"> Any content resource (i.e. about special education, not governance) should indicate the appropriate tags from the CEC taxonomy.</w:t>
      </w:r>
    </w:p>
    <w:p w14:paraId="7F88764C" w14:textId="78192CF4" w:rsidR="00F439D2" w:rsidRDefault="00F439D2" w:rsidP="00F439D2">
      <w:pPr>
        <w:pStyle w:val="ListParagraph"/>
        <w:numPr>
          <w:ilvl w:val="0"/>
          <w:numId w:val="5"/>
        </w:numPr>
        <w:spacing w:after="0"/>
      </w:pPr>
      <w:r>
        <w:t xml:space="preserve">If content on current pages needs updated (i.e. an officer list) move that officer list into a Word document and update. If you plan to provide pictures your officers, start collecting and naming those high resolution images (CEC will crop to size for you). </w:t>
      </w:r>
    </w:p>
    <w:p w14:paraId="78DE80DA" w14:textId="3D77CE45" w:rsidR="00763A97" w:rsidRDefault="00763A97" w:rsidP="00F439D2">
      <w:pPr>
        <w:pStyle w:val="ListParagraph"/>
        <w:numPr>
          <w:ilvl w:val="0"/>
          <w:numId w:val="5"/>
        </w:numPr>
        <w:spacing w:after="0"/>
      </w:pPr>
      <w:r>
        <w:t>Make a plan for how you will provided new content to your website at least once every two weeks moving forward after migration.</w:t>
      </w:r>
    </w:p>
    <w:p w14:paraId="11C576CF" w14:textId="77777777" w:rsidR="007464C6" w:rsidRDefault="007464C6" w:rsidP="007464C6">
      <w:pPr>
        <w:spacing w:after="0"/>
        <w:rPr>
          <w:b/>
          <w:bCs/>
          <w:sz w:val="28"/>
          <w:szCs w:val="28"/>
        </w:rPr>
      </w:pPr>
    </w:p>
    <w:p w14:paraId="4D4BB21F" w14:textId="41DB3678" w:rsidR="007464C6" w:rsidRPr="007464C6" w:rsidRDefault="007464C6" w:rsidP="007464C6">
      <w:pPr>
        <w:spacing w:after="0"/>
        <w:rPr>
          <w:b/>
          <w:bCs/>
          <w:sz w:val="28"/>
          <w:szCs w:val="28"/>
        </w:rPr>
      </w:pPr>
      <w:r w:rsidRPr="007464C6">
        <w:rPr>
          <w:b/>
          <w:bCs/>
          <w:sz w:val="28"/>
          <w:szCs w:val="28"/>
        </w:rPr>
        <w:t>Initial Migration</w:t>
      </w:r>
    </w:p>
    <w:p w14:paraId="6BFD2DD2" w14:textId="77777777" w:rsidR="007464C6" w:rsidRDefault="007464C6" w:rsidP="007464C6">
      <w:pPr>
        <w:spacing w:after="0"/>
      </w:pPr>
      <w:r>
        <w:t>The initial migration to the CEC platform will be done by the CEC staff. Once the migration process is started, can take up to 10 weeks for the process to be complete depending on the size of the website. A sample schedule is below.</w:t>
      </w:r>
    </w:p>
    <w:tbl>
      <w:tblPr>
        <w:tblStyle w:val="TableGrid"/>
        <w:tblW w:w="9439" w:type="dxa"/>
        <w:tblLook w:val="04A0" w:firstRow="1" w:lastRow="0" w:firstColumn="1" w:lastColumn="0" w:noHBand="0" w:noVBand="1"/>
      </w:tblPr>
      <w:tblGrid>
        <w:gridCol w:w="1059"/>
        <w:gridCol w:w="2784"/>
        <w:gridCol w:w="1552"/>
        <w:gridCol w:w="1307"/>
        <w:gridCol w:w="1368"/>
        <w:gridCol w:w="1369"/>
      </w:tblGrid>
      <w:tr w:rsidR="007464C6" w14:paraId="0D534B47" w14:textId="77777777" w:rsidTr="00FC76D1">
        <w:trPr>
          <w:trHeight w:val="242"/>
        </w:trPr>
        <w:tc>
          <w:tcPr>
            <w:tcW w:w="1059" w:type="dxa"/>
          </w:tcPr>
          <w:p w14:paraId="6AD3B3F8" w14:textId="77777777" w:rsidR="007464C6" w:rsidRDefault="007464C6" w:rsidP="00FC76D1"/>
        </w:tc>
        <w:tc>
          <w:tcPr>
            <w:tcW w:w="2784" w:type="dxa"/>
            <w:shd w:val="clear" w:color="auto" w:fill="FFF2CC" w:themeFill="accent4" w:themeFillTint="33"/>
          </w:tcPr>
          <w:p w14:paraId="56AC1379" w14:textId="77777777" w:rsidR="007464C6" w:rsidRPr="006D05A7" w:rsidRDefault="007464C6" w:rsidP="00FC76D1">
            <w:pPr>
              <w:jc w:val="center"/>
              <w:rPr>
                <w:b/>
                <w:bCs/>
              </w:rPr>
            </w:pPr>
            <w:r w:rsidRPr="006D05A7">
              <w:rPr>
                <w:b/>
                <w:bCs/>
              </w:rPr>
              <w:t>&lt;25 pages</w:t>
            </w:r>
          </w:p>
        </w:tc>
        <w:tc>
          <w:tcPr>
            <w:tcW w:w="2859" w:type="dxa"/>
            <w:gridSpan w:val="2"/>
            <w:shd w:val="clear" w:color="auto" w:fill="FFF2CC" w:themeFill="accent4" w:themeFillTint="33"/>
          </w:tcPr>
          <w:p w14:paraId="2273F5D4" w14:textId="77777777" w:rsidR="007464C6" w:rsidRPr="006D05A7" w:rsidRDefault="007464C6" w:rsidP="00FC76D1">
            <w:pPr>
              <w:jc w:val="center"/>
              <w:rPr>
                <w:b/>
                <w:bCs/>
              </w:rPr>
            </w:pPr>
            <w:r w:rsidRPr="006D05A7">
              <w:rPr>
                <w:b/>
                <w:bCs/>
              </w:rPr>
              <w:t>26-50 pages</w:t>
            </w:r>
          </w:p>
        </w:tc>
        <w:tc>
          <w:tcPr>
            <w:tcW w:w="2737" w:type="dxa"/>
            <w:gridSpan w:val="2"/>
            <w:shd w:val="clear" w:color="auto" w:fill="FFF2CC" w:themeFill="accent4" w:themeFillTint="33"/>
          </w:tcPr>
          <w:p w14:paraId="55AA9CEE" w14:textId="77777777" w:rsidR="007464C6" w:rsidRPr="006D05A7" w:rsidRDefault="007464C6" w:rsidP="00FC76D1">
            <w:pPr>
              <w:jc w:val="center"/>
              <w:rPr>
                <w:b/>
                <w:bCs/>
              </w:rPr>
            </w:pPr>
            <w:r w:rsidRPr="006D05A7">
              <w:rPr>
                <w:b/>
                <w:bCs/>
              </w:rPr>
              <w:t>&gt;50 pages</w:t>
            </w:r>
          </w:p>
        </w:tc>
      </w:tr>
      <w:tr w:rsidR="007464C6" w14:paraId="25511E1A" w14:textId="77777777" w:rsidTr="00FC76D1">
        <w:trPr>
          <w:trHeight w:val="229"/>
        </w:trPr>
        <w:tc>
          <w:tcPr>
            <w:tcW w:w="1059" w:type="dxa"/>
          </w:tcPr>
          <w:p w14:paraId="4F7B9D16" w14:textId="77777777" w:rsidR="007464C6" w:rsidRPr="006D05A7" w:rsidRDefault="007464C6" w:rsidP="00FC76D1">
            <w:pPr>
              <w:rPr>
                <w:b/>
                <w:bCs/>
              </w:rPr>
            </w:pPr>
            <w:r w:rsidRPr="006D05A7">
              <w:rPr>
                <w:b/>
                <w:bCs/>
              </w:rPr>
              <w:t>Week 1</w:t>
            </w:r>
          </w:p>
        </w:tc>
        <w:tc>
          <w:tcPr>
            <w:tcW w:w="8380" w:type="dxa"/>
            <w:gridSpan w:val="5"/>
          </w:tcPr>
          <w:p w14:paraId="54463AF8" w14:textId="77777777" w:rsidR="007464C6" w:rsidRDefault="007464C6" w:rsidP="00FC76D1">
            <w:pPr>
              <w:jc w:val="center"/>
            </w:pPr>
            <w:r>
              <w:t>Attend a content planning session with CEC</w:t>
            </w:r>
          </w:p>
        </w:tc>
      </w:tr>
      <w:tr w:rsidR="007464C6" w14:paraId="1960875F" w14:textId="77777777" w:rsidTr="00FC76D1">
        <w:trPr>
          <w:trHeight w:val="242"/>
        </w:trPr>
        <w:tc>
          <w:tcPr>
            <w:tcW w:w="1059" w:type="dxa"/>
          </w:tcPr>
          <w:p w14:paraId="33FC9567" w14:textId="77777777" w:rsidR="007464C6" w:rsidRPr="006D05A7" w:rsidRDefault="007464C6" w:rsidP="00FC76D1">
            <w:pPr>
              <w:rPr>
                <w:b/>
                <w:bCs/>
              </w:rPr>
            </w:pPr>
            <w:r w:rsidRPr="006D05A7">
              <w:rPr>
                <w:b/>
                <w:bCs/>
              </w:rPr>
              <w:t>Week 2</w:t>
            </w:r>
          </w:p>
        </w:tc>
        <w:tc>
          <w:tcPr>
            <w:tcW w:w="8380" w:type="dxa"/>
            <w:gridSpan w:val="5"/>
          </w:tcPr>
          <w:p w14:paraId="7BFC4E9B" w14:textId="77777777" w:rsidR="007464C6" w:rsidRDefault="007464C6" w:rsidP="00FC76D1">
            <w:pPr>
              <w:jc w:val="center"/>
            </w:pPr>
            <w:r>
              <w:t>Submit menu hierarchy (</w:t>
            </w:r>
            <w:r w:rsidRPr="003B60D3">
              <w:rPr>
                <w:highlight w:val="yellow"/>
              </w:rPr>
              <w:t>see related template</w:t>
            </w:r>
            <w:r>
              <w:t>)</w:t>
            </w:r>
          </w:p>
        </w:tc>
      </w:tr>
      <w:tr w:rsidR="007464C6" w14:paraId="2D90CCB0" w14:textId="77777777" w:rsidTr="00FC76D1">
        <w:trPr>
          <w:trHeight w:val="331"/>
        </w:trPr>
        <w:tc>
          <w:tcPr>
            <w:tcW w:w="1059" w:type="dxa"/>
          </w:tcPr>
          <w:p w14:paraId="2736131E" w14:textId="77777777" w:rsidR="007464C6" w:rsidRPr="006D05A7" w:rsidRDefault="007464C6" w:rsidP="00FC76D1">
            <w:pPr>
              <w:rPr>
                <w:b/>
                <w:bCs/>
              </w:rPr>
            </w:pPr>
            <w:r w:rsidRPr="006D05A7">
              <w:rPr>
                <w:b/>
                <w:bCs/>
              </w:rPr>
              <w:t>Week 3</w:t>
            </w:r>
          </w:p>
        </w:tc>
        <w:tc>
          <w:tcPr>
            <w:tcW w:w="2784" w:type="dxa"/>
          </w:tcPr>
          <w:p w14:paraId="608823F0" w14:textId="77777777" w:rsidR="007464C6" w:rsidRDefault="007464C6" w:rsidP="00FC76D1">
            <w:pPr>
              <w:jc w:val="center"/>
            </w:pPr>
            <w:r>
              <w:t>Submit all content to CEC</w:t>
            </w:r>
          </w:p>
        </w:tc>
        <w:tc>
          <w:tcPr>
            <w:tcW w:w="1552" w:type="dxa"/>
            <w:vMerge w:val="restart"/>
          </w:tcPr>
          <w:p w14:paraId="61D7974F" w14:textId="77777777" w:rsidR="007464C6" w:rsidRDefault="007464C6" w:rsidP="00FC76D1">
            <w:pPr>
              <w:jc w:val="center"/>
            </w:pPr>
            <w:r>
              <w:t>Submit content as it’s ready</w:t>
            </w:r>
          </w:p>
        </w:tc>
        <w:tc>
          <w:tcPr>
            <w:tcW w:w="1307" w:type="dxa"/>
          </w:tcPr>
          <w:p w14:paraId="26D4ABD6" w14:textId="77777777" w:rsidR="007464C6" w:rsidRDefault="007464C6" w:rsidP="00FC76D1">
            <w:pPr>
              <w:jc w:val="center"/>
            </w:pPr>
          </w:p>
        </w:tc>
        <w:tc>
          <w:tcPr>
            <w:tcW w:w="1368" w:type="dxa"/>
            <w:vMerge w:val="restart"/>
          </w:tcPr>
          <w:p w14:paraId="47D0E711" w14:textId="77777777" w:rsidR="007464C6" w:rsidRDefault="007464C6" w:rsidP="00FC76D1">
            <w:pPr>
              <w:jc w:val="center"/>
            </w:pPr>
            <w:r>
              <w:t>Submit content as it’s ready</w:t>
            </w:r>
          </w:p>
        </w:tc>
        <w:tc>
          <w:tcPr>
            <w:tcW w:w="1369" w:type="dxa"/>
            <w:vMerge w:val="restart"/>
            <w:vAlign w:val="center"/>
          </w:tcPr>
          <w:p w14:paraId="343D451A" w14:textId="77777777" w:rsidR="007464C6" w:rsidRDefault="007464C6" w:rsidP="00FC76D1">
            <w:pPr>
              <w:jc w:val="center"/>
            </w:pPr>
            <w:r>
              <w:t>CEC develops website</w:t>
            </w:r>
          </w:p>
        </w:tc>
      </w:tr>
      <w:tr w:rsidR="007464C6" w14:paraId="09A75E2A" w14:textId="77777777" w:rsidTr="00FC76D1">
        <w:trPr>
          <w:trHeight w:val="377"/>
        </w:trPr>
        <w:tc>
          <w:tcPr>
            <w:tcW w:w="1059" w:type="dxa"/>
          </w:tcPr>
          <w:p w14:paraId="27095867" w14:textId="77777777" w:rsidR="007464C6" w:rsidRPr="006D05A7" w:rsidRDefault="007464C6" w:rsidP="00FC76D1">
            <w:pPr>
              <w:rPr>
                <w:b/>
                <w:bCs/>
              </w:rPr>
            </w:pPr>
            <w:r w:rsidRPr="006D05A7">
              <w:rPr>
                <w:b/>
                <w:bCs/>
              </w:rPr>
              <w:t>Week 4</w:t>
            </w:r>
          </w:p>
        </w:tc>
        <w:tc>
          <w:tcPr>
            <w:tcW w:w="2784" w:type="dxa"/>
          </w:tcPr>
          <w:p w14:paraId="2C912071" w14:textId="77777777" w:rsidR="007464C6" w:rsidRDefault="007464C6" w:rsidP="00FC76D1">
            <w:pPr>
              <w:jc w:val="center"/>
            </w:pPr>
            <w:r>
              <w:t>CEC develops site</w:t>
            </w:r>
          </w:p>
        </w:tc>
        <w:tc>
          <w:tcPr>
            <w:tcW w:w="1552" w:type="dxa"/>
            <w:vMerge/>
          </w:tcPr>
          <w:p w14:paraId="56964B4B" w14:textId="77777777" w:rsidR="007464C6" w:rsidRDefault="007464C6" w:rsidP="00FC76D1">
            <w:pPr>
              <w:jc w:val="center"/>
            </w:pPr>
          </w:p>
        </w:tc>
        <w:tc>
          <w:tcPr>
            <w:tcW w:w="1307" w:type="dxa"/>
            <w:vMerge w:val="restart"/>
          </w:tcPr>
          <w:p w14:paraId="5ED35795" w14:textId="77777777" w:rsidR="007464C6" w:rsidRDefault="007464C6" w:rsidP="00FC76D1">
            <w:pPr>
              <w:jc w:val="center"/>
            </w:pPr>
            <w:r>
              <w:t>CEC develops website</w:t>
            </w:r>
          </w:p>
        </w:tc>
        <w:tc>
          <w:tcPr>
            <w:tcW w:w="1368" w:type="dxa"/>
            <w:vMerge/>
          </w:tcPr>
          <w:p w14:paraId="6CD3D913" w14:textId="77777777" w:rsidR="007464C6" w:rsidRDefault="007464C6" w:rsidP="00FC76D1">
            <w:pPr>
              <w:jc w:val="center"/>
            </w:pPr>
          </w:p>
        </w:tc>
        <w:tc>
          <w:tcPr>
            <w:tcW w:w="1369" w:type="dxa"/>
            <w:vMerge/>
          </w:tcPr>
          <w:p w14:paraId="163BA7F7" w14:textId="77777777" w:rsidR="007464C6" w:rsidRDefault="007464C6" w:rsidP="00FC76D1">
            <w:pPr>
              <w:jc w:val="center"/>
            </w:pPr>
          </w:p>
        </w:tc>
      </w:tr>
      <w:tr w:rsidR="007464C6" w14:paraId="14CBF447" w14:textId="77777777" w:rsidTr="00FC76D1">
        <w:trPr>
          <w:trHeight w:val="242"/>
        </w:trPr>
        <w:tc>
          <w:tcPr>
            <w:tcW w:w="1059" w:type="dxa"/>
          </w:tcPr>
          <w:p w14:paraId="74D423E8" w14:textId="77777777" w:rsidR="007464C6" w:rsidRPr="006D05A7" w:rsidRDefault="007464C6" w:rsidP="00FC76D1">
            <w:pPr>
              <w:rPr>
                <w:b/>
                <w:bCs/>
              </w:rPr>
            </w:pPr>
            <w:r w:rsidRPr="006D05A7">
              <w:rPr>
                <w:b/>
                <w:bCs/>
              </w:rPr>
              <w:t>Week 5</w:t>
            </w:r>
          </w:p>
        </w:tc>
        <w:tc>
          <w:tcPr>
            <w:tcW w:w="2784" w:type="dxa"/>
          </w:tcPr>
          <w:p w14:paraId="09727365" w14:textId="77777777" w:rsidR="007464C6" w:rsidRDefault="007464C6" w:rsidP="00FC76D1">
            <w:pPr>
              <w:jc w:val="center"/>
            </w:pPr>
            <w:r>
              <w:t>Review/edit website</w:t>
            </w:r>
          </w:p>
        </w:tc>
        <w:tc>
          <w:tcPr>
            <w:tcW w:w="1552" w:type="dxa"/>
          </w:tcPr>
          <w:p w14:paraId="06C1A3C4" w14:textId="77777777" w:rsidR="007464C6" w:rsidRDefault="007464C6" w:rsidP="00FC76D1">
            <w:pPr>
              <w:jc w:val="center"/>
            </w:pPr>
          </w:p>
        </w:tc>
        <w:tc>
          <w:tcPr>
            <w:tcW w:w="1307" w:type="dxa"/>
            <w:vMerge/>
          </w:tcPr>
          <w:p w14:paraId="4DB440E9" w14:textId="77777777" w:rsidR="007464C6" w:rsidRDefault="007464C6" w:rsidP="00FC76D1">
            <w:pPr>
              <w:jc w:val="center"/>
            </w:pPr>
          </w:p>
        </w:tc>
        <w:tc>
          <w:tcPr>
            <w:tcW w:w="1368" w:type="dxa"/>
            <w:vMerge/>
          </w:tcPr>
          <w:p w14:paraId="172B1904" w14:textId="77777777" w:rsidR="007464C6" w:rsidRDefault="007464C6" w:rsidP="00FC76D1">
            <w:pPr>
              <w:jc w:val="center"/>
            </w:pPr>
          </w:p>
        </w:tc>
        <w:tc>
          <w:tcPr>
            <w:tcW w:w="1369" w:type="dxa"/>
            <w:vMerge/>
          </w:tcPr>
          <w:p w14:paraId="6B6B7748" w14:textId="77777777" w:rsidR="007464C6" w:rsidRDefault="007464C6" w:rsidP="00FC76D1">
            <w:pPr>
              <w:jc w:val="center"/>
            </w:pPr>
          </w:p>
        </w:tc>
      </w:tr>
      <w:tr w:rsidR="007464C6" w14:paraId="1CB46E61" w14:textId="77777777" w:rsidTr="00FC76D1">
        <w:trPr>
          <w:trHeight w:val="229"/>
        </w:trPr>
        <w:tc>
          <w:tcPr>
            <w:tcW w:w="1059" w:type="dxa"/>
          </w:tcPr>
          <w:p w14:paraId="6F6709A7" w14:textId="77777777" w:rsidR="007464C6" w:rsidRPr="006D05A7" w:rsidRDefault="007464C6" w:rsidP="00FC76D1">
            <w:pPr>
              <w:rPr>
                <w:b/>
                <w:bCs/>
              </w:rPr>
            </w:pPr>
            <w:r w:rsidRPr="006D05A7">
              <w:rPr>
                <w:b/>
                <w:bCs/>
              </w:rPr>
              <w:t>Week 6</w:t>
            </w:r>
          </w:p>
        </w:tc>
        <w:tc>
          <w:tcPr>
            <w:tcW w:w="2784" w:type="dxa"/>
          </w:tcPr>
          <w:p w14:paraId="5EEA3EE8" w14:textId="77777777" w:rsidR="007464C6" w:rsidRDefault="007464C6" w:rsidP="00FC76D1">
            <w:pPr>
              <w:jc w:val="center"/>
            </w:pPr>
            <w:r>
              <w:t>Repoint domain</w:t>
            </w:r>
          </w:p>
        </w:tc>
        <w:tc>
          <w:tcPr>
            <w:tcW w:w="1552" w:type="dxa"/>
            <w:vMerge w:val="restart"/>
            <w:vAlign w:val="center"/>
          </w:tcPr>
          <w:p w14:paraId="5B7C3235" w14:textId="77777777" w:rsidR="007464C6" w:rsidRDefault="007464C6" w:rsidP="00FC76D1">
            <w:pPr>
              <w:jc w:val="center"/>
            </w:pPr>
            <w:r>
              <w:t>Review/Edit website</w:t>
            </w:r>
          </w:p>
        </w:tc>
        <w:tc>
          <w:tcPr>
            <w:tcW w:w="1307" w:type="dxa"/>
            <w:vMerge/>
          </w:tcPr>
          <w:p w14:paraId="469EF29F" w14:textId="77777777" w:rsidR="007464C6" w:rsidRDefault="007464C6" w:rsidP="00FC76D1">
            <w:pPr>
              <w:jc w:val="center"/>
            </w:pPr>
          </w:p>
        </w:tc>
        <w:tc>
          <w:tcPr>
            <w:tcW w:w="1368" w:type="dxa"/>
          </w:tcPr>
          <w:p w14:paraId="5ACE8FA8" w14:textId="77777777" w:rsidR="007464C6" w:rsidRDefault="007464C6" w:rsidP="00FC76D1">
            <w:pPr>
              <w:jc w:val="center"/>
            </w:pPr>
          </w:p>
        </w:tc>
        <w:tc>
          <w:tcPr>
            <w:tcW w:w="1369" w:type="dxa"/>
            <w:vMerge/>
          </w:tcPr>
          <w:p w14:paraId="416A0E53" w14:textId="77777777" w:rsidR="007464C6" w:rsidRDefault="007464C6" w:rsidP="00FC76D1">
            <w:pPr>
              <w:jc w:val="center"/>
            </w:pPr>
          </w:p>
        </w:tc>
      </w:tr>
      <w:tr w:rsidR="007464C6" w14:paraId="571D208D" w14:textId="77777777" w:rsidTr="00FC76D1">
        <w:trPr>
          <w:trHeight w:val="121"/>
        </w:trPr>
        <w:tc>
          <w:tcPr>
            <w:tcW w:w="1059" w:type="dxa"/>
            <w:vMerge w:val="restart"/>
          </w:tcPr>
          <w:p w14:paraId="50FB4C1D" w14:textId="77777777" w:rsidR="007464C6" w:rsidRPr="006D05A7" w:rsidRDefault="007464C6" w:rsidP="00FC76D1">
            <w:pPr>
              <w:rPr>
                <w:b/>
                <w:bCs/>
              </w:rPr>
            </w:pPr>
            <w:r w:rsidRPr="006D05A7">
              <w:rPr>
                <w:b/>
                <w:bCs/>
              </w:rPr>
              <w:t>Week 7</w:t>
            </w:r>
          </w:p>
        </w:tc>
        <w:tc>
          <w:tcPr>
            <w:tcW w:w="2784" w:type="dxa"/>
            <w:vMerge w:val="restart"/>
          </w:tcPr>
          <w:p w14:paraId="53A3DC4F" w14:textId="77777777" w:rsidR="007464C6" w:rsidRDefault="007464C6" w:rsidP="00FC76D1">
            <w:pPr>
              <w:jc w:val="center"/>
            </w:pPr>
          </w:p>
        </w:tc>
        <w:tc>
          <w:tcPr>
            <w:tcW w:w="1552" w:type="dxa"/>
            <w:vMerge/>
          </w:tcPr>
          <w:p w14:paraId="5047B27E" w14:textId="77777777" w:rsidR="007464C6" w:rsidRDefault="007464C6" w:rsidP="00FC76D1">
            <w:pPr>
              <w:jc w:val="center"/>
            </w:pPr>
          </w:p>
        </w:tc>
        <w:tc>
          <w:tcPr>
            <w:tcW w:w="1307" w:type="dxa"/>
          </w:tcPr>
          <w:p w14:paraId="699765E9" w14:textId="77777777" w:rsidR="007464C6" w:rsidRDefault="007464C6" w:rsidP="00FC76D1">
            <w:pPr>
              <w:jc w:val="center"/>
            </w:pPr>
          </w:p>
        </w:tc>
        <w:tc>
          <w:tcPr>
            <w:tcW w:w="1368" w:type="dxa"/>
            <w:vMerge w:val="restart"/>
            <w:vAlign w:val="center"/>
          </w:tcPr>
          <w:p w14:paraId="702D8930" w14:textId="77777777" w:rsidR="007464C6" w:rsidRDefault="007464C6" w:rsidP="00FC76D1">
            <w:pPr>
              <w:jc w:val="center"/>
            </w:pPr>
            <w:r>
              <w:t>Review/Edit website</w:t>
            </w:r>
          </w:p>
        </w:tc>
        <w:tc>
          <w:tcPr>
            <w:tcW w:w="1369" w:type="dxa"/>
            <w:vMerge/>
          </w:tcPr>
          <w:p w14:paraId="1DF4E5B5" w14:textId="77777777" w:rsidR="007464C6" w:rsidRDefault="007464C6" w:rsidP="00FC76D1">
            <w:pPr>
              <w:jc w:val="center"/>
            </w:pPr>
          </w:p>
        </w:tc>
      </w:tr>
      <w:tr w:rsidR="007464C6" w14:paraId="5945102D" w14:textId="77777777" w:rsidTr="00FC76D1">
        <w:trPr>
          <w:trHeight w:val="70"/>
        </w:trPr>
        <w:tc>
          <w:tcPr>
            <w:tcW w:w="1059" w:type="dxa"/>
            <w:vMerge/>
          </w:tcPr>
          <w:p w14:paraId="1376AC39" w14:textId="77777777" w:rsidR="007464C6" w:rsidRPr="006D05A7" w:rsidRDefault="007464C6" w:rsidP="00FC76D1">
            <w:pPr>
              <w:rPr>
                <w:b/>
                <w:bCs/>
              </w:rPr>
            </w:pPr>
          </w:p>
        </w:tc>
        <w:tc>
          <w:tcPr>
            <w:tcW w:w="2784" w:type="dxa"/>
            <w:vMerge/>
          </w:tcPr>
          <w:p w14:paraId="4AB9C8DE" w14:textId="77777777" w:rsidR="007464C6" w:rsidRDefault="007464C6" w:rsidP="00FC76D1">
            <w:pPr>
              <w:jc w:val="center"/>
            </w:pPr>
          </w:p>
        </w:tc>
        <w:tc>
          <w:tcPr>
            <w:tcW w:w="1552" w:type="dxa"/>
            <w:vMerge/>
          </w:tcPr>
          <w:p w14:paraId="545BD566" w14:textId="77777777" w:rsidR="007464C6" w:rsidRDefault="007464C6" w:rsidP="00FC76D1">
            <w:pPr>
              <w:jc w:val="center"/>
            </w:pPr>
          </w:p>
        </w:tc>
        <w:tc>
          <w:tcPr>
            <w:tcW w:w="1307" w:type="dxa"/>
          </w:tcPr>
          <w:p w14:paraId="62168158" w14:textId="77777777" w:rsidR="007464C6" w:rsidRDefault="007464C6" w:rsidP="00FC76D1">
            <w:pPr>
              <w:jc w:val="center"/>
            </w:pPr>
          </w:p>
        </w:tc>
        <w:tc>
          <w:tcPr>
            <w:tcW w:w="1368" w:type="dxa"/>
            <w:vMerge/>
            <w:vAlign w:val="center"/>
          </w:tcPr>
          <w:p w14:paraId="146CFE43" w14:textId="77777777" w:rsidR="007464C6" w:rsidRDefault="007464C6" w:rsidP="00FC76D1">
            <w:pPr>
              <w:jc w:val="center"/>
            </w:pPr>
          </w:p>
        </w:tc>
        <w:tc>
          <w:tcPr>
            <w:tcW w:w="1369" w:type="dxa"/>
            <w:vMerge/>
          </w:tcPr>
          <w:p w14:paraId="34631C65" w14:textId="77777777" w:rsidR="007464C6" w:rsidRDefault="007464C6" w:rsidP="00FC76D1">
            <w:pPr>
              <w:jc w:val="center"/>
            </w:pPr>
          </w:p>
        </w:tc>
      </w:tr>
      <w:tr w:rsidR="007464C6" w14:paraId="41D28B67" w14:textId="77777777" w:rsidTr="00FC76D1">
        <w:trPr>
          <w:trHeight w:val="242"/>
        </w:trPr>
        <w:tc>
          <w:tcPr>
            <w:tcW w:w="1059" w:type="dxa"/>
          </w:tcPr>
          <w:p w14:paraId="498A851C" w14:textId="77777777" w:rsidR="007464C6" w:rsidRPr="006D05A7" w:rsidRDefault="007464C6" w:rsidP="00FC76D1">
            <w:pPr>
              <w:rPr>
                <w:b/>
                <w:bCs/>
              </w:rPr>
            </w:pPr>
            <w:r w:rsidRPr="006D05A7">
              <w:rPr>
                <w:b/>
                <w:bCs/>
              </w:rPr>
              <w:t>Week 8</w:t>
            </w:r>
          </w:p>
        </w:tc>
        <w:tc>
          <w:tcPr>
            <w:tcW w:w="2784" w:type="dxa"/>
          </w:tcPr>
          <w:p w14:paraId="62215930" w14:textId="77777777" w:rsidR="007464C6" w:rsidRDefault="007464C6" w:rsidP="00FC76D1">
            <w:pPr>
              <w:jc w:val="center"/>
            </w:pPr>
          </w:p>
        </w:tc>
        <w:tc>
          <w:tcPr>
            <w:tcW w:w="2859" w:type="dxa"/>
            <w:gridSpan w:val="2"/>
          </w:tcPr>
          <w:p w14:paraId="3467745C" w14:textId="77777777" w:rsidR="007464C6" w:rsidRDefault="007464C6" w:rsidP="00FC76D1">
            <w:pPr>
              <w:jc w:val="center"/>
            </w:pPr>
            <w:r>
              <w:t>Repoint domain</w:t>
            </w:r>
          </w:p>
        </w:tc>
        <w:tc>
          <w:tcPr>
            <w:tcW w:w="1368" w:type="dxa"/>
            <w:vMerge/>
            <w:vAlign w:val="center"/>
          </w:tcPr>
          <w:p w14:paraId="7FE7B2CD" w14:textId="77777777" w:rsidR="007464C6" w:rsidRDefault="007464C6" w:rsidP="00FC76D1">
            <w:pPr>
              <w:jc w:val="center"/>
            </w:pPr>
          </w:p>
        </w:tc>
        <w:tc>
          <w:tcPr>
            <w:tcW w:w="1369" w:type="dxa"/>
            <w:vAlign w:val="center"/>
          </w:tcPr>
          <w:p w14:paraId="76C36A51" w14:textId="77777777" w:rsidR="007464C6" w:rsidRDefault="007464C6" w:rsidP="00FC76D1">
            <w:pPr>
              <w:jc w:val="center"/>
            </w:pPr>
          </w:p>
        </w:tc>
      </w:tr>
      <w:tr w:rsidR="007464C6" w14:paraId="08EAFBB6" w14:textId="77777777" w:rsidTr="00FC76D1">
        <w:trPr>
          <w:trHeight w:val="242"/>
        </w:trPr>
        <w:tc>
          <w:tcPr>
            <w:tcW w:w="1059" w:type="dxa"/>
          </w:tcPr>
          <w:p w14:paraId="453AD080" w14:textId="77777777" w:rsidR="007464C6" w:rsidRPr="006D05A7" w:rsidRDefault="007464C6" w:rsidP="00FC76D1">
            <w:pPr>
              <w:rPr>
                <w:b/>
                <w:bCs/>
              </w:rPr>
            </w:pPr>
            <w:r>
              <w:rPr>
                <w:b/>
                <w:bCs/>
              </w:rPr>
              <w:t>Week 9</w:t>
            </w:r>
          </w:p>
        </w:tc>
        <w:tc>
          <w:tcPr>
            <w:tcW w:w="2784" w:type="dxa"/>
          </w:tcPr>
          <w:p w14:paraId="7C5D8F6B" w14:textId="77777777" w:rsidR="007464C6" w:rsidRDefault="007464C6" w:rsidP="00FC76D1">
            <w:pPr>
              <w:jc w:val="center"/>
            </w:pPr>
          </w:p>
        </w:tc>
        <w:tc>
          <w:tcPr>
            <w:tcW w:w="2859" w:type="dxa"/>
            <w:gridSpan w:val="2"/>
          </w:tcPr>
          <w:p w14:paraId="2C5402AB" w14:textId="77777777" w:rsidR="007464C6" w:rsidRDefault="007464C6" w:rsidP="00FC76D1">
            <w:pPr>
              <w:jc w:val="center"/>
            </w:pPr>
          </w:p>
        </w:tc>
        <w:tc>
          <w:tcPr>
            <w:tcW w:w="1368" w:type="dxa"/>
            <w:vMerge/>
          </w:tcPr>
          <w:p w14:paraId="2DF72B45" w14:textId="77777777" w:rsidR="007464C6" w:rsidRDefault="007464C6" w:rsidP="00FC76D1">
            <w:pPr>
              <w:jc w:val="center"/>
            </w:pPr>
          </w:p>
        </w:tc>
        <w:tc>
          <w:tcPr>
            <w:tcW w:w="1369" w:type="dxa"/>
          </w:tcPr>
          <w:p w14:paraId="7E43C50A" w14:textId="77777777" w:rsidR="007464C6" w:rsidRDefault="007464C6" w:rsidP="00FC76D1">
            <w:pPr>
              <w:jc w:val="center"/>
            </w:pPr>
          </w:p>
        </w:tc>
      </w:tr>
      <w:tr w:rsidR="007464C6" w14:paraId="4CC6D6E0" w14:textId="77777777" w:rsidTr="00FC76D1">
        <w:trPr>
          <w:trHeight w:val="229"/>
        </w:trPr>
        <w:tc>
          <w:tcPr>
            <w:tcW w:w="1059" w:type="dxa"/>
          </w:tcPr>
          <w:p w14:paraId="39C717F6" w14:textId="77777777" w:rsidR="007464C6" w:rsidRDefault="007464C6" w:rsidP="00FC76D1">
            <w:pPr>
              <w:rPr>
                <w:b/>
                <w:bCs/>
              </w:rPr>
            </w:pPr>
            <w:r>
              <w:rPr>
                <w:b/>
                <w:bCs/>
              </w:rPr>
              <w:t>Week 10</w:t>
            </w:r>
          </w:p>
        </w:tc>
        <w:tc>
          <w:tcPr>
            <w:tcW w:w="2784" w:type="dxa"/>
          </w:tcPr>
          <w:p w14:paraId="25EEFD9A" w14:textId="77777777" w:rsidR="007464C6" w:rsidRDefault="007464C6" w:rsidP="00FC76D1">
            <w:pPr>
              <w:jc w:val="center"/>
            </w:pPr>
          </w:p>
        </w:tc>
        <w:tc>
          <w:tcPr>
            <w:tcW w:w="2859" w:type="dxa"/>
            <w:gridSpan w:val="2"/>
          </w:tcPr>
          <w:p w14:paraId="5C83D07D" w14:textId="77777777" w:rsidR="007464C6" w:rsidRDefault="007464C6" w:rsidP="00FC76D1">
            <w:pPr>
              <w:jc w:val="center"/>
            </w:pPr>
          </w:p>
        </w:tc>
        <w:tc>
          <w:tcPr>
            <w:tcW w:w="2737" w:type="dxa"/>
            <w:gridSpan w:val="2"/>
          </w:tcPr>
          <w:p w14:paraId="47E2398E" w14:textId="77777777" w:rsidR="007464C6" w:rsidRDefault="007464C6" w:rsidP="00FC76D1">
            <w:pPr>
              <w:jc w:val="center"/>
            </w:pPr>
            <w:r>
              <w:t>Repoint domain</w:t>
            </w:r>
          </w:p>
        </w:tc>
      </w:tr>
    </w:tbl>
    <w:p w14:paraId="3831058F" w14:textId="77777777" w:rsidR="007464C6" w:rsidRDefault="007464C6" w:rsidP="007464C6">
      <w:pPr>
        <w:spacing w:after="0"/>
      </w:pPr>
    </w:p>
    <w:p w14:paraId="5D41627D" w14:textId="56CEA576" w:rsidR="00FA321B" w:rsidRDefault="00FA321B" w:rsidP="00FA321B">
      <w:pPr>
        <w:spacing w:after="0"/>
      </w:pPr>
    </w:p>
    <w:sectPr w:rsidR="00FA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719E"/>
    <w:multiLevelType w:val="hybridMultilevel"/>
    <w:tmpl w:val="2C96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748E1"/>
    <w:multiLevelType w:val="hybridMultilevel"/>
    <w:tmpl w:val="0F1C2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513CC"/>
    <w:multiLevelType w:val="hybridMultilevel"/>
    <w:tmpl w:val="4C3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63716"/>
    <w:multiLevelType w:val="hybridMultilevel"/>
    <w:tmpl w:val="7446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A3D46"/>
    <w:multiLevelType w:val="hybridMultilevel"/>
    <w:tmpl w:val="D68EA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F664A"/>
    <w:multiLevelType w:val="hybridMultilevel"/>
    <w:tmpl w:val="D68EA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C234A"/>
    <w:multiLevelType w:val="hybridMultilevel"/>
    <w:tmpl w:val="0E8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BC"/>
    <w:rsid w:val="0001414B"/>
    <w:rsid w:val="00070B04"/>
    <w:rsid w:val="0008467E"/>
    <w:rsid w:val="001724CE"/>
    <w:rsid w:val="0022090F"/>
    <w:rsid w:val="003A1612"/>
    <w:rsid w:val="003B60D3"/>
    <w:rsid w:val="003C0D63"/>
    <w:rsid w:val="00410475"/>
    <w:rsid w:val="004F4636"/>
    <w:rsid w:val="00574EA9"/>
    <w:rsid w:val="005F13F7"/>
    <w:rsid w:val="0061210A"/>
    <w:rsid w:val="006D05A7"/>
    <w:rsid w:val="00717743"/>
    <w:rsid w:val="007464C6"/>
    <w:rsid w:val="00763A97"/>
    <w:rsid w:val="00980974"/>
    <w:rsid w:val="00D55BDA"/>
    <w:rsid w:val="00DC6620"/>
    <w:rsid w:val="00F33FF2"/>
    <w:rsid w:val="00F4238F"/>
    <w:rsid w:val="00F439D2"/>
    <w:rsid w:val="00F57C0B"/>
    <w:rsid w:val="00F7380F"/>
    <w:rsid w:val="00FA321B"/>
    <w:rsid w:val="00FB68BC"/>
    <w:rsid w:val="00FE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4AE4"/>
  <w15:chartTrackingRefBased/>
  <w15:docId w15:val="{73BD2C7B-0B17-4860-9F30-8ABFBE09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BC"/>
    <w:pPr>
      <w:ind w:left="720"/>
      <w:contextualSpacing/>
    </w:pPr>
  </w:style>
  <w:style w:type="character" w:styleId="Hyperlink">
    <w:name w:val="Hyperlink"/>
    <w:basedOn w:val="DefaultParagraphFont"/>
    <w:uiPriority w:val="99"/>
    <w:unhideWhenUsed/>
    <w:rsid w:val="001724CE"/>
    <w:rPr>
      <w:color w:val="0563C1" w:themeColor="hyperlink"/>
      <w:u w:val="single"/>
    </w:rPr>
  </w:style>
  <w:style w:type="character" w:styleId="CommentReference">
    <w:name w:val="annotation reference"/>
    <w:basedOn w:val="DefaultParagraphFont"/>
    <w:uiPriority w:val="99"/>
    <w:semiHidden/>
    <w:unhideWhenUsed/>
    <w:rsid w:val="001724CE"/>
    <w:rPr>
      <w:sz w:val="16"/>
      <w:szCs w:val="16"/>
    </w:rPr>
  </w:style>
  <w:style w:type="paragraph" w:styleId="CommentText">
    <w:name w:val="annotation text"/>
    <w:basedOn w:val="Normal"/>
    <w:link w:val="CommentTextChar"/>
    <w:uiPriority w:val="99"/>
    <w:semiHidden/>
    <w:unhideWhenUsed/>
    <w:rsid w:val="001724CE"/>
    <w:pPr>
      <w:spacing w:line="240" w:lineRule="auto"/>
    </w:pPr>
    <w:rPr>
      <w:sz w:val="20"/>
      <w:szCs w:val="20"/>
    </w:rPr>
  </w:style>
  <w:style w:type="character" w:customStyle="1" w:styleId="CommentTextChar">
    <w:name w:val="Comment Text Char"/>
    <w:basedOn w:val="DefaultParagraphFont"/>
    <w:link w:val="CommentText"/>
    <w:uiPriority w:val="99"/>
    <w:semiHidden/>
    <w:rsid w:val="001724CE"/>
    <w:rPr>
      <w:sz w:val="20"/>
      <w:szCs w:val="20"/>
    </w:rPr>
  </w:style>
  <w:style w:type="paragraph" w:styleId="BalloonText">
    <w:name w:val="Balloon Text"/>
    <w:basedOn w:val="Normal"/>
    <w:link w:val="BalloonTextChar"/>
    <w:uiPriority w:val="99"/>
    <w:semiHidden/>
    <w:unhideWhenUsed/>
    <w:rsid w:val="0017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CE"/>
    <w:rPr>
      <w:rFonts w:ascii="Segoe UI" w:hAnsi="Segoe UI" w:cs="Segoe UI"/>
      <w:sz w:val="18"/>
      <w:szCs w:val="18"/>
    </w:rPr>
  </w:style>
  <w:style w:type="table" w:styleId="TableGrid">
    <w:name w:val="Table Grid"/>
    <w:basedOn w:val="TableNormal"/>
    <w:uiPriority w:val="39"/>
    <w:rsid w:val="006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3A97"/>
    <w:rPr>
      <w:b/>
      <w:bCs/>
    </w:rPr>
  </w:style>
  <w:style w:type="character" w:customStyle="1" w:styleId="CommentSubjectChar">
    <w:name w:val="Comment Subject Char"/>
    <w:basedOn w:val="CommentTextChar"/>
    <w:link w:val="CommentSubject"/>
    <w:uiPriority w:val="99"/>
    <w:semiHidden/>
    <w:rsid w:val="00763A97"/>
    <w:rPr>
      <w:b/>
      <w:bCs/>
      <w:sz w:val="20"/>
      <w:szCs w:val="20"/>
    </w:rPr>
  </w:style>
  <w:style w:type="character" w:styleId="UnresolvedMention">
    <w:name w:val="Unresolved Mention"/>
    <w:basedOn w:val="DefaultParagraphFont"/>
    <w:uiPriority w:val="99"/>
    <w:semiHidden/>
    <w:unhideWhenUsed/>
    <w:rsid w:val="00410475"/>
    <w:rPr>
      <w:color w:val="605E5C"/>
      <w:shd w:val="clear" w:color="auto" w:fill="E1DFDD"/>
    </w:rPr>
  </w:style>
  <w:style w:type="character" w:styleId="FollowedHyperlink">
    <w:name w:val="FollowedHyperlink"/>
    <w:basedOn w:val="DefaultParagraphFont"/>
    <w:uiPriority w:val="99"/>
    <w:semiHidden/>
    <w:unhideWhenUsed/>
    <w:rsid w:val="003A1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1785.wufoo.com/forms/divisionunit-web-requ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c1785.wufoo.com/forms/division-and-unit-website-migration/" TargetMode="External"/><Relationship Id="rId4" Type="http://schemas.openxmlformats.org/officeDocument/2006/relationships/numbering" Target="numbering.xml"/><Relationship Id="rId9" Type="http://schemas.openxmlformats.org/officeDocument/2006/relationships/hyperlink" Target="mailto:websubmit@exceptional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C4E2819E3DF40A4F03F3625FC5F02" ma:contentTypeVersion="13" ma:contentTypeDescription="Create a new document." ma:contentTypeScope="" ma:versionID="4b3e190e98b2d4c3d3cf73f2f1f3cf8a">
  <xsd:schema xmlns:xsd="http://www.w3.org/2001/XMLSchema" xmlns:xs="http://www.w3.org/2001/XMLSchema" xmlns:p="http://schemas.microsoft.com/office/2006/metadata/properties" xmlns:ns3="691cbae4-0e2d-4927-924d-c9920951e76e" xmlns:ns4="7a25871e-18bd-48ef-972d-56d9e0aa4b6f" targetNamespace="http://schemas.microsoft.com/office/2006/metadata/properties" ma:root="true" ma:fieldsID="9e159cacec7258db2f88ca7162fbc2e1" ns3:_="" ns4:_="">
    <xsd:import namespace="691cbae4-0e2d-4927-924d-c9920951e76e"/>
    <xsd:import namespace="7a25871e-18bd-48ef-972d-56d9e0aa4b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bae4-0e2d-4927-924d-c9920951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5871e-18bd-48ef-972d-56d9e0aa4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104E-4F62-4660-94FA-D377CB20974E}">
  <ds:schemaRefs>
    <ds:schemaRef ds:uri="http://schemas.microsoft.com/sharepoint/v3/contenttype/forms"/>
  </ds:schemaRefs>
</ds:datastoreItem>
</file>

<file path=customXml/itemProps2.xml><?xml version="1.0" encoding="utf-8"?>
<ds:datastoreItem xmlns:ds="http://schemas.openxmlformats.org/officeDocument/2006/customXml" ds:itemID="{B1336FF5-9882-4A2A-AFC9-60F8D7A65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B659-7C4E-48ED-9F61-A6FF2910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bae4-0e2d-4927-924d-c9920951e76e"/>
    <ds:schemaRef ds:uri="7a25871e-18bd-48ef-972d-56d9e0aa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Rummel</dc:creator>
  <cp:keywords/>
  <dc:description/>
  <cp:lastModifiedBy>Chad Rummel</cp:lastModifiedBy>
  <cp:revision>21</cp:revision>
  <dcterms:created xsi:type="dcterms:W3CDTF">2020-08-13T19:00:00Z</dcterms:created>
  <dcterms:modified xsi:type="dcterms:W3CDTF">2020-08-31T18:11:00Z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0x010100386C4E2819E3DF40A4F03F3625FC5F02</vt:lpwstr>
  </property>
</Properties>
</file>